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Egregi signori,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articolo 88 del decreto-legge 17 marzo 2020 n. 18 estende ai contratti di soggiorno la possibilit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di utilizzo del voucher quale alternativa al rimborso, nei casi di impossibilit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sopravvenuta di cui all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articolo 28 del decreto-legge n. 9 del 2020.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La disposizione consente alle strutture ricettive di rilasciare al cliente che richieda un rimborso, in luogo di una somma di denaro, un voucher da utilizzare entro dodici mesi dalla sua emissione.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Il voucher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un riconoscimento di un credito di cui potranno beneficiare i soggetti che hanno prenotato soggiorni, direttamente o tramite agenzia di viaggio o portale di prenotazioni, e che si trovano in una delle condizioni di impossibilit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previste dall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articolo 28 del decreto-legge n. 9 del 2020.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La disposizione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applicabile a tutte le strutture ricettive italiane, a prescindere dalla nazionalit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del cliente, o dalla sede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agenzia di viaggio o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intermediario o del portale attraverso cui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stata effettuata la prenotazione.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La disposizione inoltre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applicabile alle cancellazioni per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“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impossibilit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sopravvenuta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riferite a soggiorni da effettuarsi durante il periodo di validit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delle specifiche misure di contenimento adottate in Italia ai sensi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articolo 3 del decreto-legge 23 febbraio 2020 n. 6.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quindi applicabile anche alle cancellazioni gi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effettuate, motivate dalla pandemia e dalle restrizioni contenute nei diversi provvedimenti, per le quali la struttura ricettiva non abbia ancora provveduto al rimborso.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Secondo le disposizioni sopra richiamate, il cliente deve comunicare alla struttura ricettiva il ricorrere di una delle previste situazioni di impossibilit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sopravvenuta non oltre 30 giorni dopo la cessazione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impedimento, o 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annullamento, sospensione o rinvio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evento. La struttura ricettiva, entro 15 giorni dalla comunicazione, procede al rimborso del corrispettivo versato per il soggiorno ovvero all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emissione di un voucher di pari importo da utilizzare entro un anno dall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emissione.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Si ricorda inoltre che le disposizioni sopra richiamate costituiscono, ai sensi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articolo 17 della legge del 31 maggio 1995, n. 218 e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articolo 9 del regolamento (CE) n. 593/2008 del Parlamento europeo e del Consiglio, del 17 giugno 2008, norme di applicazione necessaria. Pertanto sono da considerarsi prevalenti anche rispetto a leggi straniere, e ovviamente a pattuizioni diverse, in quanto la loro attuazione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ritenuta cruciale per la salvaguardia del nostro paese.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Evidenziamo infine che la situazione straordinaria conseguente all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epidemia Covid-19 determina 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insorgere di una causa di forza maggiore che non consente la normale esecuzione di alcune clausole del nostro contratto con la vostra societ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à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, incluse quelle che prevedono 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addebito diretto in conto corrente delle commissioni di vostra competenza e 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eventuale rimborso agli ospiti di commissioni, costi, spese e altri importi.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Vi invitiamo pertanto ad astenervi dal rimborsare senza nostra autorizzazione quanto versato dai nostri clienti, diffidandovi dall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addebitarci le relative somme.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Vi invitiamo inoltre a restituire senza indugio quanto gi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indebitamente addebitato alla nostra azienda.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Distinti saluti.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